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077" w:type="dxa"/>
        <w:tblLook w:val="0000" w:firstRow="0" w:lastRow="0" w:firstColumn="0" w:lastColumn="0" w:noHBand="0" w:noVBand="0"/>
      </w:tblPr>
      <w:tblGrid>
        <w:gridCol w:w="5475"/>
      </w:tblGrid>
      <w:tr w:rsidR="005A54B1" w:rsidRPr="004C4D04" w:rsidTr="004C4D04">
        <w:trPr>
          <w:trHeight w:val="1405"/>
        </w:trPr>
        <w:tc>
          <w:tcPr>
            <w:tcW w:w="5475" w:type="dxa"/>
          </w:tcPr>
          <w:p w:rsidR="004C4D04" w:rsidRDefault="005A54B1" w:rsidP="004C4D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 w:rsidRPr="005A5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Утверждено</w:t>
            </w:r>
            <w:r w:rsidR="004C4D04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Общественным 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Советом </w:t>
            </w:r>
          </w:p>
          <w:p w:rsidR="00D91D00" w:rsidRDefault="004C4D04" w:rsidP="004C4D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при </w:t>
            </w:r>
            <w:r w:rsidR="005A54B1" w:rsidRPr="005A5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Министерстве промышленности и</w:t>
            </w:r>
            <w:r w:rsidR="005A54B1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торговли</w:t>
            </w: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Карачаево-Черкесской</w:t>
            </w:r>
          </w:p>
          <w:p w:rsidR="005A54B1" w:rsidRPr="005A54B1" w:rsidRDefault="004C4D04" w:rsidP="004C4D04">
            <w:pPr>
              <w:spacing w:after="0"/>
              <w:rPr>
                <w:rFonts w:ascii="Times New Roman" w:hAnsi="Times New Roman" w:cs="Times New Roman"/>
                <w:sz w:val="28"/>
                <w:szCs w:val="28"/>
                <w:lang w:val="ru-RU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Республики</w:t>
            </w:r>
          </w:p>
        </w:tc>
      </w:tr>
    </w:tbl>
    <w:p w:rsidR="004C4D04" w:rsidRDefault="004C4D04" w:rsidP="005A54B1">
      <w:pPr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C4D04" w:rsidRDefault="0041311D" w:rsidP="004C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Доклад </w:t>
      </w:r>
    </w:p>
    <w:p w:rsidR="00164645" w:rsidRDefault="0041311D" w:rsidP="004C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об организации системы внутреннего обеспечения соответствия деятельности Министерства промышленности и торговли Карачаево-Черкесской Республики требованиям антимонопольного законодательства</w:t>
      </w:r>
    </w:p>
    <w:p w:rsidR="004C4D04" w:rsidRPr="00B5189C" w:rsidRDefault="004C4D04" w:rsidP="004C4D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496209" w:rsidRPr="00B5189C" w:rsidRDefault="00905D09" w:rsidP="005A54B1">
      <w:pPr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ab/>
      </w:r>
      <w:r w:rsidR="00496209" w:rsidRPr="00B5189C">
        <w:rPr>
          <w:rFonts w:ascii="Times New Roman" w:hAnsi="Times New Roman" w:cs="Times New Roman"/>
          <w:i/>
          <w:sz w:val="28"/>
          <w:szCs w:val="28"/>
          <w:lang w:val="ru-RU"/>
        </w:rPr>
        <w:t>1. Организация системы внутреннего обеспечения соответствия деятельности Министерства промышленности и торговли Карачаево-Черкесской Республики</w:t>
      </w:r>
      <w:r w:rsidR="004C4D04">
        <w:rPr>
          <w:rFonts w:ascii="Times New Roman" w:hAnsi="Times New Roman" w:cs="Times New Roman"/>
          <w:i/>
          <w:sz w:val="28"/>
          <w:szCs w:val="28"/>
          <w:lang w:val="ru-RU"/>
        </w:rPr>
        <w:t xml:space="preserve"> </w:t>
      </w:r>
      <w:r w:rsidR="00496209" w:rsidRPr="00B5189C">
        <w:rPr>
          <w:rFonts w:ascii="Times New Roman" w:hAnsi="Times New Roman" w:cs="Times New Roman"/>
          <w:i/>
          <w:sz w:val="28"/>
          <w:szCs w:val="28"/>
          <w:lang w:val="ru-RU"/>
        </w:rPr>
        <w:t>(далее – Министерство) требованиям антимонопольного законодательства</w:t>
      </w:r>
    </w:p>
    <w:p w:rsidR="00496209" w:rsidRPr="00B5189C" w:rsidRDefault="00905D09" w:rsidP="00446FD3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Во исполнение Указа Президента Российской Федерации от 21.12.2017 </w:t>
      </w:r>
      <w:r w:rsidR="004C4D04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6FD3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C4D04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618 «Об основных направлениях государственной политики по развитию конкуренции», </w:t>
      </w:r>
      <w:r w:rsidR="00E3635B">
        <w:rPr>
          <w:rFonts w:ascii="Times New Roman" w:hAnsi="Times New Roman" w:cs="Times New Roman"/>
          <w:sz w:val="28"/>
          <w:szCs w:val="28"/>
          <w:lang w:val="ru-RU"/>
        </w:rPr>
        <w:t>подготовлен приказ</w:t>
      </w:r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Министерства </w:t>
      </w:r>
      <w:r w:rsidR="004C4D04">
        <w:rPr>
          <w:rFonts w:ascii="Times New Roman" w:hAnsi="Times New Roman" w:cs="Times New Roman"/>
          <w:sz w:val="28"/>
          <w:szCs w:val="28"/>
          <w:lang w:val="ru-RU"/>
        </w:rPr>
        <w:t xml:space="preserve">от 21.11.2019 №126-общ. </w:t>
      </w:r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>«Об организации системы внутреннего обеспечения соответствия требованиям антимонопольного законодательства в Министерстве промышленности и торговли К</w:t>
      </w:r>
      <w:r w:rsidR="004C4D04">
        <w:rPr>
          <w:rFonts w:ascii="Times New Roman" w:hAnsi="Times New Roman" w:cs="Times New Roman"/>
          <w:sz w:val="28"/>
          <w:szCs w:val="28"/>
          <w:lang w:val="ru-RU"/>
        </w:rPr>
        <w:t xml:space="preserve">арачаево-Черкесской Республики». </w:t>
      </w:r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>В соответствии с ним, общий контроль за организацией антимонопольного комплаенса и обеспечением его функционирования осуществляется Минис</w:t>
      </w:r>
      <w:r w:rsidR="004C4D04">
        <w:rPr>
          <w:rFonts w:ascii="Times New Roman" w:hAnsi="Times New Roman" w:cs="Times New Roman"/>
          <w:sz w:val="28"/>
          <w:szCs w:val="28"/>
          <w:lang w:val="ru-RU"/>
        </w:rPr>
        <w:t xml:space="preserve">тром промышленности и торговли </w:t>
      </w:r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Карачаево-Черкесской Республики. </w:t>
      </w:r>
    </w:p>
    <w:p w:rsidR="00496209" w:rsidRPr="00B5189C" w:rsidRDefault="003B31F7" w:rsidP="003B31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Структурным подразделением Министерства промышленности и торговли Карачаево-Черкесской Республики, ответственным за функционирование системы внутреннего обеспечения соответствия требованиям антимонопольного законодательства в Министерстве, определен отдел правового и кадрового обеспечения, по осуществлению следующих компетенций</w:t>
      </w:r>
      <w:r w:rsidR="00496209" w:rsidRPr="00B5189C">
        <w:rPr>
          <w:rFonts w:ascii="Times New Roman" w:hAnsi="Times New Roman" w:cs="Times New Roman"/>
          <w:sz w:val="28"/>
          <w:szCs w:val="28"/>
          <w:lang w:val="ru-RU"/>
        </w:rPr>
        <w:t>:</w:t>
      </w:r>
    </w:p>
    <w:p w:rsidR="004C4D04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выявление конфликта интересов в деятельности служащих и структурных подразделений Министерства, разработка предложений по их исключению;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анализ нормативных правовых актов Министерства в части своей компетенции;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подготовка и представление Министру акта о внесении изменений в антимонопольный комплаенс, а также внутриведомственных документов Министерства, регламентирующих процедуры антимонопольного комплаенса;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обобщение информации, поступившей от структурных подразделений Министерства, подготовка сводных отчетов и результатов оценок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lastRenderedPageBreak/>
        <w:t>эффективности организации и функционирования антимонопольного комплаенса, представление их Министру;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обобщение информации, поступившей от структурных подразделений Министерства, касающейся выявления рисков нарушения антимонопольного законодательства, учета обстоятельств, связанных с рисками нарушения антимонопольного законодательства, определения вероятности возникновения рисков нарушения антимонопольного законодательства;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обобщение информации, поступившей от структурных подразделений, о внутренних документах, которые могут повлечь нарушение антимонопольного законодательства, представление ее Министру;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организация взаимодействия со структурными подразделениями Министерства по вопросам, связанным с антимонопольным комплаенсом;</w:t>
      </w:r>
    </w:p>
    <w:p w:rsidR="00634804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- консультирование служащих Министерства по вопросам, связанным с соблюдением антимонопольного законодательства </w:t>
      </w:r>
      <w:r w:rsidR="004C4D04">
        <w:rPr>
          <w:rFonts w:ascii="Times New Roman" w:hAnsi="Times New Roman" w:cs="Times New Roman"/>
          <w:sz w:val="28"/>
          <w:szCs w:val="28"/>
          <w:lang w:val="ru-RU"/>
        </w:rPr>
        <w:t>и антимонопольным комплаенсом;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контроль за функционированием антимонопольного комплаенса в Министерстве;</w:t>
      </w:r>
    </w:p>
    <w:p w:rsidR="00496209" w:rsidRPr="00B5189C" w:rsidRDefault="00496209" w:rsidP="004962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взаимодействие с антимонопольным органом и организация содействия ему в части, касающейся вопросов, связанных с проводимыми проверками;</w:t>
      </w:r>
    </w:p>
    <w:p w:rsidR="00496209" w:rsidRPr="00B5189C" w:rsidRDefault="00496209" w:rsidP="003B31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подготовка доклада об антимонопольном комплаенсе.</w:t>
      </w:r>
    </w:p>
    <w:p w:rsidR="007D7E38" w:rsidRPr="00B5189C" w:rsidRDefault="007D7E38" w:rsidP="004C4D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Коллегиальным органом, осуществляющим оценку эффективности организации и функционирования в Министерстве промышленности и торговли </w:t>
      </w:r>
      <w:r w:rsidR="004C4D04">
        <w:rPr>
          <w:rFonts w:ascii="Times New Roman" w:hAnsi="Times New Roman" w:cs="Times New Roman"/>
          <w:sz w:val="28"/>
          <w:szCs w:val="28"/>
          <w:lang w:val="ru-RU"/>
        </w:rPr>
        <w:t>Карачаево-Черкесской Республики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антимонопольного комплаенса определен Общественный Совет при Министерстве. </w:t>
      </w:r>
    </w:p>
    <w:p w:rsidR="003B31F7" w:rsidRPr="00B5189C" w:rsidRDefault="003B31F7" w:rsidP="004C4D04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2. Мероприятия по снижению, выявлению и оценке рисков нарушения Министерством антимонопольного законодательств. </w:t>
      </w:r>
    </w:p>
    <w:p w:rsidR="007D7E38" w:rsidRPr="00B5189C" w:rsidRDefault="007D7E38" w:rsidP="004C4D04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В целях выявления и оценки рисков нарушения антимонопольного законодательства уполномоченным подразделением совместно со структурными проводится ряд мероприятий:</w:t>
      </w:r>
    </w:p>
    <w:p w:rsidR="0041311D" w:rsidRPr="00B5189C" w:rsidRDefault="007D7E38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Анализ</w:t>
      </w:r>
      <w:r w:rsidR="0041311D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о целесообразности (нецелесообразности) внесения изменений в нормативные правовые акты (проекты нормативных правовых актов) </w:t>
      </w:r>
      <w:r w:rsidR="0041311D" w:rsidRPr="00B5189C">
        <w:rPr>
          <w:rFonts w:ascii="Times New Roman" w:hAnsi="Times New Roman" w:cs="Times New Roman"/>
          <w:sz w:val="28"/>
          <w:szCs w:val="28"/>
          <w:lang w:val="ru-RU"/>
        </w:rPr>
        <w:t>Министерства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, по проведению которого </w:t>
      </w:r>
      <w:r w:rsidR="0041311D" w:rsidRPr="00B5189C">
        <w:rPr>
          <w:rFonts w:ascii="Times New Roman" w:hAnsi="Times New Roman" w:cs="Times New Roman"/>
          <w:sz w:val="28"/>
          <w:szCs w:val="28"/>
          <w:lang w:val="ru-RU"/>
        </w:rPr>
        <w:t>сделан вывод об их соответствии антимонопольному законодательству, о нецелесообразности внесения изменений в действующие нормативные правовые акты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67325E" w:rsidRPr="00B5189C" w:rsidRDefault="0067325E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- Оценка эффективности разработанных и реализуемых мероприятий по снижению рисков нарушения антимонопольного законодательства в Министерстве. </w:t>
      </w:r>
    </w:p>
    <w:p w:rsidR="00C96012" w:rsidRPr="00B5189C" w:rsidRDefault="0067325E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В целях выявления рисков нарушения антимонопольного законодательства</w:t>
      </w:r>
      <w:r w:rsidR="00C96012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были осуществлены следующие действия: </w:t>
      </w:r>
    </w:p>
    <w:p w:rsidR="0067325E" w:rsidRPr="00B5189C" w:rsidRDefault="0067325E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запрошены предложения от структурных подразделений о наиболее вероятных нарушениях антимонопольного законодательства</w:t>
      </w:r>
      <w:r w:rsidR="00C96012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;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проведена оценка поступивших предложений</w:t>
      </w:r>
      <w:r w:rsidR="00C96012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; обсуждение во время рабочих совещаний анализа результатов проводимой работы по выявлению комплаенс-рисков. </w:t>
      </w:r>
    </w:p>
    <w:p w:rsidR="00C96012" w:rsidRPr="00B5189C" w:rsidRDefault="00C96012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При проведении анализа учитывались те потенциально возможные события, обстоятельства, поддающиеся определению и оценке, которые могут неблагоприятно повлиять на события, как нарушение Министерством антимонопольного законодательства. </w:t>
      </w:r>
    </w:p>
    <w:p w:rsidR="00C96012" w:rsidRPr="00B5189C" w:rsidRDefault="00F231CA" w:rsidP="0041311D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Кроме этого, в целях обеспечения </w:t>
      </w:r>
      <w:r w:rsidR="004E0440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соответствия актов Министерства нормам антимонопольного законодательства отделом правового и кадрового обеспечения на постоянной основе проводится юридическая экспертиза нормативных правовых актов </w:t>
      </w:r>
      <w:r w:rsidR="0027177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Министерства, правовая оценка </w:t>
      </w:r>
      <w:r w:rsidR="006655FF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формы правового акта, его целей и задач, предмета регулирования, оценка соответствия требованиям законодательства Российской Федерации. </w:t>
      </w:r>
    </w:p>
    <w:p w:rsidR="00D870CA" w:rsidRPr="00B5189C" w:rsidRDefault="00553C65" w:rsidP="00553C65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Ознакомление государственных гражданских служащих Министерства с положением об организации системы антимонопольного комплаенса</w:t>
      </w:r>
      <w:r w:rsidR="00D870CA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С  гражданами Российской Федерации, поступающими на государственную гражданскую службу в Министерство, также проводится вводный инструктаж. </w:t>
      </w:r>
    </w:p>
    <w:p w:rsidR="003B31F7" w:rsidRPr="00B5189C" w:rsidRDefault="003B31F7" w:rsidP="003B31F7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По итогам проведенного анализа нарушения антимонопольного законодательства в деятельности Министерства и подведомственных учреждений не выявлены. </w:t>
      </w:r>
    </w:p>
    <w:p w:rsidR="009F6278" w:rsidRPr="00B5189C" w:rsidRDefault="009F6278" w:rsidP="009F627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189C">
        <w:rPr>
          <w:rFonts w:ascii="Times New Roman" w:hAnsi="Times New Roman" w:cs="Times New Roman"/>
          <w:i/>
          <w:sz w:val="28"/>
          <w:szCs w:val="28"/>
        </w:rPr>
        <w:t>3. Ключевые показатели эффективности функционирования антимонопольного комплаенса</w:t>
      </w:r>
      <w:r w:rsidR="00FA6D01" w:rsidRPr="00B5189C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FA6D01" w:rsidRPr="00B5189C" w:rsidRDefault="00FA6D01" w:rsidP="009F6278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A6D01" w:rsidRPr="00B5189C" w:rsidRDefault="00C2442F" w:rsidP="00FA6D01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>В соответствии с Методикой расчета ключевых показателей эффективности функционирования в федеральном органе исполнительной власти антимонопольного комплаенса, утвержденной приказом Федеральной антимонопольной службы от 05 февраля 2019 г. № 133/19 (далее – Методика) к</w:t>
      </w:r>
      <w:r w:rsidR="00FA6D01" w:rsidRPr="00B5189C">
        <w:rPr>
          <w:rFonts w:ascii="Times New Roman" w:hAnsi="Times New Roman" w:cs="Times New Roman"/>
          <w:sz w:val="28"/>
          <w:szCs w:val="28"/>
          <w:lang w:val="ru-RU"/>
        </w:rPr>
        <w:t>лючевыми показателями эффективности функционирования в Министерстве антимонопольного комплаенса являются:</w:t>
      </w:r>
    </w:p>
    <w:p w:rsidR="00FA6D01" w:rsidRPr="00B5189C" w:rsidRDefault="00FA6D01" w:rsidP="00FA6D0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1) </w:t>
      </w: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>коэффициент снижения количества нарушений антимонопольного законодательства со стороны Министерства (по сравнению с 201</w:t>
      </w:r>
      <w:r w:rsidR="00C64325">
        <w:rPr>
          <w:rFonts w:ascii="Times New Roman" w:eastAsiaTheme="minorHAnsi" w:hAnsi="Times New Roman" w:cs="Times New Roman"/>
          <w:sz w:val="28"/>
          <w:szCs w:val="28"/>
          <w:lang w:val="ru-RU"/>
        </w:rPr>
        <w:t>9</w:t>
      </w: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 xml:space="preserve"> годом);</w:t>
      </w:r>
    </w:p>
    <w:p w:rsidR="00FA6D01" w:rsidRPr="00B5189C" w:rsidRDefault="00FA6D01" w:rsidP="00FA6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lastRenderedPageBreak/>
        <w:t>2) доля проектов нормативных правовых актов Министерства, в которых выявлены риски нарушения антимонопольного законодательства;</w:t>
      </w:r>
    </w:p>
    <w:p w:rsidR="00FA6D01" w:rsidRPr="00B5189C" w:rsidRDefault="00FA6D01" w:rsidP="00FA6D01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HAnsi" w:hAnsi="Times New Roman" w:cs="Times New Roman"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sz w:val="28"/>
          <w:szCs w:val="28"/>
          <w:lang w:val="ru-RU"/>
        </w:rPr>
        <w:t>3) доля нормативных правовых актов Министерства, в которых выявлены риски нарушения антимонопольного законодательства.</w:t>
      </w:r>
    </w:p>
    <w:p w:rsidR="00D870CA" w:rsidRDefault="00C2442F" w:rsidP="008C22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Коэффициент снижения количества нарушений антимонопольного законодательства со стороны Министерства</w:t>
      </w:r>
      <w:r w:rsidR="00C6432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(по сравнению с 201</w:t>
      </w:r>
      <w:r w:rsidR="00C64325">
        <w:rPr>
          <w:rFonts w:ascii="Times New Roman" w:hAnsi="Times New Roman" w:cs="Times New Roman"/>
          <w:b/>
          <w:sz w:val="28"/>
          <w:szCs w:val="28"/>
          <w:lang w:val="ru-RU"/>
        </w:rPr>
        <w:t>9</w:t>
      </w: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годом) рассчитывается по формуле:</w:t>
      </w:r>
    </w:p>
    <w:p w:rsidR="00EF3E9D" w:rsidRPr="00EF3E9D" w:rsidRDefault="00EF3E9D" w:rsidP="00EF3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>
        <w:rPr>
          <w:rFonts w:ascii="Times New Roman" w:hAnsi="Times New Roman" w:cs="Times New Roman"/>
          <w:b/>
          <w:sz w:val="28"/>
          <w:szCs w:val="28"/>
        </w:rPr>
        <w:t>KCH</w:t>
      </w:r>
      <w:r w:rsidRPr="00EF3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= </w:t>
      </w:r>
      <w:r w:rsidRPr="00EF3E9D">
        <w:rPr>
          <w:rFonts w:ascii="Times New Roman" w:hAnsi="Times New Roman" w:cs="Times New Roman"/>
          <w:b/>
          <w:sz w:val="28"/>
          <w:szCs w:val="28"/>
          <w:u w:val="single"/>
        </w:rPr>
        <w:t>KH</w:t>
      </w:r>
      <w:r w:rsidRPr="00EF3E9D">
        <w:rPr>
          <w:rFonts w:ascii="Times New Roman" w:hAnsi="Times New Roman" w:cs="Times New Roman"/>
          <w:b/>
          <w:sz w:val="28"/>
          <w:szCs w:val="28"/>
          <w:u w:val="single"/>
          <w:lang w:val="ru-RU"/>
        </w:rPr>
        <w:t xml:space="preserve"> 2019</w:t>
      </w:r>
    </w:p>
    <w:p w:rsidR="00EF3E9D" w:rsidRPr="00EF3E9D" w:rsidRDefault="00EF3E9D" w:rsidP="00EF3E9D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F3E9D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</w:t>
      </w:r>
      <w:r>
        <w:rPr>
          <w:rFonts w:ascii="Times New Roman" w:hAnsi="Times New Roman" w:cs="Times New Roman"/>
          <w:b/>
          <w:sz w:val="28"/>
          <w:szCs w:val="28"/>
        </w:rPr>
        <w:t>KH</w:t>
      </w:r>
      <w:r>
        <w:rPr>
          <w:rFonts w:ascii="Times New Roman" w:hAnsi="Times New Roman" w:cs="Times New Roman"/>
          <w:b/>
          <w:sz w:val="28"/>
          <w:szCs w:val="28"/>
          <w:lang w:val="ru-RU"/>
        </w:rPr>
        <w:t>оп, где</w:t>
      </w:r>
    </w:p>
    <w:p w:rsidR="00EF3E9D" w:rsidRDefault="00EF3E9D" w:rsidP="008C22C1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C2442F" w:rsidRPr="00B5189C" w:rsidRDefault="00C2442F" w:rsidP="008C22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КСН - коэффициент снижения количества нарушений антимонопольного законодательства со стороны Министерства по сравнению с 201</w:t>
      </w:r>
      <w:r w:rsidR="00C6432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годом;</w:t>
      </w:r>
    </w:p>
    <w:p w:rsidR="00C2442F" w:rsidRPr="00B5189C" w:rsidRDefault="00C2442F" w:rsidP="008C22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КН201</w:t>
      </w:r>
      <w:r w:rsidR="00C6432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- количество нарушений антимонопольного законодательства со стороны Министерства в 201</w:t>
      </w:r>
      <w:r w:rsidR="00C64325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году;</w:t>
      </w:r>
    </w:p>
    <w:p w:rsidR="00C2442F" w:rsidRPr="00B5189C" w:rsidRDefault="00C2442F" w:rsidP="008C22C1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КНоп - количество нарушений антимонопольного законодател</w:t>
      </w:r>
      <w:r w:rsidR="00634804">
        <w:rPr>
          <w:rFonts w:ascii="Times New Roman" w:hAnsi="Times New Roman" w:cs="Times New Roman"/>
          <w:sz w:val="28"/>
          <w:szCs w:val="28"/>
          <w:lang w:val="ru-RU"/>
        </w:rPr>
        <w:t xml:space="preserve">ьства со стороны Министерства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в отчетном периоде.</w:t>
      </w:r>
    </w:p>
    <w:p w:rsidR="00C2442F" w:rsidRPr="00B5189C" w:rsidRDefault="00C2442F" w:rsidP="00C244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При расчете коэффициента снижения количества нарушений антимонопольного законодательства со стороны Министерства под нарушением антимонопольного законодательства со стороны Министерства понимаются: </w:t>
      </w:r>
    </w:p>
    <w:p w:rsidR="00C2442F" w:rsidRPr="00B5189C" w:rsidRDefault="00C2442F" w:rsidP="00C244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возбужденные антимонопольным органом в отношении Мини</w:t>
      </w:r>
      <w:r w:rsidR="00634804">
        <w:rPr>
          <w:rFonts w:ascii="Times New Roman" w:hAnsi="Times New Roman" w:cs="Times New Roman"/>
          <w:sz w:val="28"/>
          <w:szCs w:val="28"/>
          <w:lang w:val="ru-RU"/>
        </w:rPr>
        <w:t>стерства антимонопольные дела (</w:t>
      </w:r>
      <w:r w:rsidR="00EE48F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);</w:t>
      </w:r>
    </w:p>
    <w:p w:rsidR="00C2442F" w:rsidRPr="00B5189C" w:rsidRDefault="00C2442F" w:rsidP="00C2442F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выданные антимонопольным органом Министерству предупреждения о прекращении действий (бездействия), об отмене или изменении актов, которые содержат признаки нарушения антимонопольного законодательства, либо об устранении причин и условий, способствовавших возникновению такого нарушения, и о принятии мер по устранению</w:t>
      </w:r>
      <w:r w:rsidR="00634804">
        <w:rPr>
          <w:rFonts w:ascii="Times New Roman" w:hAnsi="Times New Roman" w:cs="Times New Roman"/>
          <w:sz w:val="28"/>
          <w:szCs w:val="28"/>
          <w:lang w:val="ru-RU"/>
        </w:rPr>
        <w:t xml:space="preserve"> последствий такого нарушения (</w:t>
      </w:r>
      <w:r w:rsidR="00EE48F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); </w:t>
      </w:r>
    </w:p>
    <w:p w:rsidR="00C2442F" w:rsidRPr="00B5189C" w:rsidRDefault="00C2442F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- направ</w:t>
      </w:r>
      <w:r w:rsidR="00A61E09" w:rsidRPr="00B5189C">
        <w:rPr>
          <w:rFonts w:ascii="Times New Roman" w:hAnsi="Times New Roman" w:cs="Times New Roman"/>
          <w:sz w:val="28"/>
          <w:szCs w:val="28"/>
          <w:lang w:val="ru-RU"/>
        </w:rPr>
        <w:t>ленные антимонопольным органом Министерства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предостережения о</w:t>
      </w:r>
      <w:r w:rsidR="00A61E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недопустимости совершения дей</w:t>
      </w:r>
      <w:r w:rsidR="00A61E09"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ствий, которые могут привести к 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нарушению антимонопольного законодательства (</w:t>
      </w:r>
      <w:r w:rsidR="00EE48F2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634804">
        <w:rPr>
          <w:rFonts w:ascii="Times New Roman" w:hAnsi="Times New Roman" w:cs="Times New Roman"/>
          <w:sz w:val="28"/>
          <w:szCs w:val="28"/>
          <w:lang w:val="ru-RU"/>
        </w:rPr>
        <w:t>)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.</w:t>
      </w:r>
    </w:p>
    <w:p w:rsidR="00A61E09" w:rsidRDefault="00A61E09" w:rsidP="00A61E0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i/>
          <w:sz w:val="28"/>
          <w:szCs w:val="28"/>
          <w:lang w:val="ru-RU"/>
        </w:rPr>
        <w:t xml:space="preserve">Таким образом, коэффициент снижения количества нарушений антимонопольного законодательства со стороны Министерства </w:t>
      </w:r>
      <w:r w:rsidRPr="00EF3E9D">
        <w:rPr>
          <w:rFonts w:ascii="Times New Roman" w:hAnsi="Times New Roman" w:cs="Times New Roman"/>
          <w:i/>
          <w:sz w:val="28"/>
          <w:szCs w:val="28"/>
          <w:lang w:val="ru-RU"/>
        </w:rPr>
        <w:t xml:space="preserve">= </w:t>
      </w:r>
      <w:r w:rsidR="00EE48F2">
        <w:rPr>
          <w:rFonts w:ascii="Times New Roman" w:hAnsi="Times New Roman" w:cs="Times New Roman"/>
          <w:i/>
          <w:sz w:val="28"/>
          <w:szCs w:val="28"/>
          <w:lang w:val="ru-RU"/>
        </w:rPr>
        <w:t>1</w:t>
      </w:r>
      <w:r w:rsidRPr="00EF3E9D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="00EF3E9D" w:rsidRPr="00EF3E9D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EF3E9D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="00A706C0" w:rsidRPr="00EF3E9D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EF3E9D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61E09" w:rsidRPr="00B5189C" w:rsidRDefault="00A61E09" w:rsidP="007B7DAE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Доля проектов нормативных правовых актов Министерства, в которых выявлены риски нарушения антимонопольного законодательства, рассчитывается по формуле: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eastAsiaTheme="minorHAnsi" w:hAnsi="Times New Roman" w:cs="Times New Roman"/>
          <w:noProof/>
          <w:position w:val="-29"/>
          <w:sz w:val="28"/>
          <w:szCs w:val="28"/>
          <w:lang w:val="ru-RU" w:eastAsia="ru-RU"/>
        </w:rPr>
        <w:lastRenderedPageBreak/>
        <w:drawing>
          <wp:inline distT="0" distB="0" distL="0" distR="0" wp14:anchorId="0359BFC9" wp14:editId="251F2709">
            <wp:extent cx="1493520" cy="548640"/>
            <wp:effectExtent l="0" t="0" r="0" b="381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9352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Дпнпа - доля проектов нормативных правовых актов Министерства, в которых выявлены риски нарушения антимонопольного законодательства (0); 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Кпнпа - количество проектов нормативн</w:t>
      </w:r>
      <w:r w:rsidR="000817DA">
        <w:rPr>
          <w:rFonts w:ascii="Times New Roman" w:hAnsi="Times New Roman" w:cs="Times New Roman"/>
          <w:sz w:val="28"/>
          <w:szCs w:val="28"/>
          <w:lang w:val="ru-RU"/>
        </w:rPr>
        <w:t>ых правовых актов Министерства,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в которых данным органом выявлены риски нарушения антимонопольного законодательства (в отчетном периоде) (0); 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КНоп КН КСН 201</w:t>
      </w:r>
      <w:r w:rsidR="000817DA">
        <w:rPr>
          <w:rFonts w:ascii="Times New Roman" w:hAnsi="Times New Roman" w:cs="Times New Roman"/>
          <w:sz w:val="28"/>
          <w:szCs w:val="28"/>
          <w:lang w:val="ru-RU"/>
        </w:rPr>
        <w:t>9</w:t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B5189C">
        <w:rPr>
          <w:rFonts w:ascii="Times New Roman" w:hAnsi="Times New Roman" w:cs="Times New Roman"/>
          <w:sz w:val="28"/>
          <w:szCs w:val="28"/>
        </w:rPr>
        <w:sym w:font="Symbol" w:char="F03D"/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КНоп Кпнпа Дпнпа </w:t>
      </w:r>
      <w:r w:rsidRPr="00B5189C">
        <w:rPr>
          <w:rFonts w:ascii="Times New Roman" w:hAnsi="Times New Roman" w:cs="Times New Roman"/>
          <w:sz w:val="28"/>
          <w:szCs w:val="28"/>
        </w:rPr>
        <w:sym w:font="Symbol" w:char="F03D"/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 КНоп - количество нормативных правовых актов Комитета, в которых антимонопольным органом выявлены нарушения антимонопольного законодательства (в отчетном периоде) (0).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Таким образом, доля проектов нормативных правовых актов Министерства, в которых выявлены риски нарушения антимонопольного законодательства = </w:t>
      </w:r>
      <w:r w:rsidR="000817DA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="000817DA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="000817DA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b/>
          <w:sz w:val="28"/>
          <w:szCs w:val="28"/>
          <w:lang w:val="ru-RU"/>
        </w:rPr>
        <w:t>Доля нормативных правовых актов Министерства, в которых выявлены риски нарушения антимонопольного законодательства, рассчитывается по формуле:</w:t>
      </w:r>
    </w:p>
    <w:p w:rsidR="00A61E09" w:rsidRPr="00B5189C" w:rsidRDefault="00A61E09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noProof/>
          <w:sz w:val="28"/>
          <w:szCs w:val="28"/>
          <w:lang w:val="ru-RU" w:eastAsia="ru-RU"/>
        </w:rPr>
        <w:drawing>
          <wp:inline distT="0" distB="0" distL="0" distR="0" wp14:anchorId="372953C5" wp14:editId="477F7BB1">
            <wp:extent cx="1316990" cy="54864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6990" cy="5486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B5189C">
        <w:rPr>
          <w:rFonts w:ascii="Times New Roman" w:hAnsi="Times New Roman" w:cs="Times New Roman"/>
          <w:sz w:val="28"/>
          <w:szCs w:val="28"/>
          <w:lang w:val="ru-RU"/>
        </w:rPr>
        <w:t>, где</w:t>
      </w:r>
    </w:p>
    <w:p w:rsidR="00B5189C" w:rsidRPr="00B5189C" w:rsidRDefault="00B5189C" w:rsidP="00A61E09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 xml:space="preserve">Днпа - доля нормативных правовых актов Министерства, в которых выявлены риски нарушения антимонопольного законодательства; Кпнпа - количество нормативных правовых актов Министерства, в которых данным органом выявлены риски нарушения антимонопольного законодательства (в отчетном периоде); </w:t>
      </w:r>
    </w:p>
    <w:p w:rsidR="00B5189C" w:rsidRPr="00B5189C" w:rsidRDefault="00B5189C" w:rsidP="00B5189C">
      <w:pPr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sz w:val="28"/>
          <w:szCs w:val="28"/>
          <w:lang w:val="ru-RU"/>
        </w:rPr>
        <w:t>КНоп - количество нормативных правовых актов Министерства, в которых антимонопольным органом выявлены нарушения антимонопольного законодательства (в отчетном периоде).</w:t>
      </w:r>
    </w:p>
    <w:p w:rsidR="00A61E09" w:rsidRPr="000817DA" w:rsidRDefault="00B5189C" w:rsidP="00D91D00">
      <w:pPr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ru-RU"/>
        </w:rPr>
      </w:pP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Таким образом, доля нормативных правовых актов Министерства, в которых выявлены риски нарушения антимонопольного законодательства, равна </w:t>
      </w:r>
      <w:r w:rsidR="001723E7">
        <w:rPr>
          <w:rFonts w:ascii="Times New Roman" w:hAnsi="Times New Roman" w:cs="Times New Roman"/>
          <w:i/>
          <w:sz w:val="28"/>
          <w:szCs w:val="28"/>
          <w:lang w:val="ru-RU"/>
        </w:rPr>
        <w:t xml:space="preserve">нулю </w:t>
      </w:r>
      <w:bookmarkStart w:id="0" w:name="_GoBack"/>
      <w:bookmarkEnd w:id="0"/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 xml:space="preserve">= </w:t>
      </w:r>
      <w:r w:rsidR="000817DA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/</w:t>
      </w:r>
      <w:r w:rsidR="000817DA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Pr="00B5189C">
        <w:rPr>
          <w:rFonts w:ascii="Times New Roman" w:hAnsi="Times New Roman" w:cs="Times New Roman"/>
          <w:i/>
          <w:sz w:val="28"/>
          <w:szCs w:val="28"/>
          <w:lang w:val="ru-RU"/>
        </w:rPr>
        <w:t>=</w:t>
      </w:r>
      <w:r w:rsidR="000817DA">
        <w:rPr>
          <w:rFonts w:ascii="Times New Roman" w:hAnsi="Times New Roman" w:cs="Times New Roman"/>
          <w:i/>
          <w:sz w:val="28"/>
          <w:szCs w:val="28"/>
          <w:lang w:val="ru-RU"/>
        </w:rPr>
        <w:t>0</w:t>
      </w:r>
      <w:r w:rsidR="00D91D00">
        <w:rPr>
          <w:rFonts w:ascii="Times New Roman" w:hAnsi="Times New Roman" w:cs="Times New Roman"/>
          <w:i/>
          <w:sz w:val="28"/>
          <w:szCs w:val="28"/>
          <w:lang w:val="ru-RU"/>
        </w:rPr>
        <w:t>.</w:t>
      </w:r>
    </w:p>
    <w:sectPr w:rsidR="00A61E09" w:rsidRPr="000817DA" w:rsidSect="004C4D04">
      <w:pgSz w:w="11906" w:h="16838"/>
      <w:pgMar w:top="709" w:right="849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B6957" w:rsidRDefault="00FB6957" w:rsidP="00264940">
      <w:pPr>
        <w:spacing w:after="0" w:line="240" w:lineRule="auto"/>
      </w:pPr>
      <w:r>
        <w:separator/>
      </w:r>
    </w:p>
  </w:endnote>
  <w:endnote w:type="continuationSeparator" w:id="0">
    <w:p w:rsidR="00FB6957" w:rsidRDefault="00FB6957" w:rsidP="0026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B6957" w:rsidRDefault="00FB6957" w:rsidP="00264940">
      <w:pPr>
        <w:spacing w:after="0" w:line="240" w:lineRule="auto"/>
      </w:pPr>
      <w:r>
        <w:separator/>
      </w:r>
    </w:p>
  </w:footnote>
  <w:footnote w:type="continuationSeparator" w:id="0">
    <w:p w:rsidR="00FB6957" w:rsidRDefault="00FB6957" w:rsidP="0026494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8582C20"/>
    <w:multiLevelType w:val="hybridMultilevel"/>
    <w:tmpl w:val="27C297CA"/>
    <w:lvl w:ilvl="0" w:tplc="F7284F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2820890"/>
    <w:multiLevelType w:val="hybridMultilevel"/>
    <w:tmpl w:val="9972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123"/>
    <w:rsid w:val="00006BF9"/>
    <w:rsid w:val="00017089"/>
    <w:rsid w:val="00030F64"/>
    <w:rsid w:val="00035842"/>
    <w:rsid w:val="00047744"/>
    <w:rsid w:val="00061714"/>
    <w:rsid w:val="00065106"/>
    <w:rsid w:val="0006648B"/>
    <w:rsid w:val="00067B54"/>
    <w:rsid w:val="00072912"/>
    <w:rsid w:val="000817DA"/>
    <w:rsid w:val="00086FD7"/>
    <w:rsid w:val="00092EB7"/>
    <w:rsid w:val="000A62AA"/>
    <w:rsid w:val="000D5C99"/>
    <w:rsid w:val="000E3177"/>
    <w:rsid w:val="00112A7B"/>
    <w:rsid w:val="00114547"/>
    <w:rsid w:val="00116886"/>
    <w:rsid w:val="00117CFF"/>
    <w:rsid w:val="001405DB"/>
    <w:rsid w:val="001411FB"/>
    <w:rsid w:val="001443A0"/>
    <w:rsid w:val="00154A34"/>
    <w:rsid w:val="0015797A"/>
    <w:rsid w:val="0016404B"/>
    <w:rsid w:val="00164645"/>
    <w:rsid w:val="00170AB5"/>
    <w:rsid w:val="00170ABC"/>
    <w:rsid w:val="001723E7"/>
    <w:rsid w:val="0017796E"/>
    <w:rsid w:val="00180561"/>
    <w:rsid w:val="001806C8"/>
    <w:rsid w:val="001966F2"/>
    <w:rsid w:val="001A0666"/>
    <w:rsid w:val="001B066D"/>
    <w:rsid w:val="001C17B6"/>
    <w:rsid w:val="001C5607"/>
    <w:rsid w:val="001D2EE5"/>
    <w:rsid w:val="001E0FBB"/>
    <w:rsid w:val="001E57EE"/>
    <w:rsid w:val="001F2496"/>
    <w:rsid w:val="001F29FC"/>
    <w:rsid w:val="00200C43"/>
    <w:rsid w:val="00205428"/>
    <w:rsid w:val="00221D34"/>
    <w:rsid w:val="00222F4B"/>
    <w:rsid w:val="002410C9"/>
    <w:rsid w:val="002519C9"/>
    <w:rsid w:val="00254703"/>
    <w:rsid w:val="002613D4"/>
    <w:rsid w:val="00261FF1"/>
    <w:rsid w:val="00264940"/>
    <w:rsid w:val="00264A52"/>
    <w:rsid w:val="00264DC8"/>
    <w:rsid w:val="00264EC2"/>
    <w:rsid w:val="00270FCD"/>
    <w:rsid w:val="00271779"/>
    <w:rsid w:val="002736D8"/>
    <w:rsid w:val="0027677B"/>
    <w:rsid w:val="002923DE"/>
    <w:rsid w:val="0029259E"/>
    <w:rsid w:val="002A67CD"/>
    <w:rsid w:val="002A6B9F"/>
    <w:rsid w:val="002B0E56"/>
    <w:rsid w:val="002B4AFC"/>
    <w:rsid w:val="002C57A9"/>
    <w:rsid w:val="002D55A4"/>
    <w:rsid w:val="002D7F87"/>
    <w:rsid w:val="002E45D7"/>
    <w:rsid w:val="003043A6"/>
    <w:rsid w:val="0031013B"/>
    <w:rsid w:val="003105C0"/>
    <w:rsid w:val="00322C1E"/>
    <w:rsid w:val="00367A19"/>
    <w:rsid w:val="003804EA"/>
    <w:rsid w:val="00382527"/>
    <w:rsid w:val="003876A6"/>
    <w:rsid w:val="00387838"/>
    <w:rsid w:val="003A3381"/>
    <w:rsid w:val="003B31F7"/>
    <w:rsid w:val="003B5781"/>
    <w:rsid w:val="003B7085"/>
    <w:rsid w:val="003C3123"/>
    <w:rsid w:val="003C3DCB"/>
    <w:rsid w:val="003D09A7"/>
    <w:rsid w:val="003D12B3"/>
    <w:rsid w:val="003E083B"/>
    <w:rsid w:val="003E6735"/>
    <w:rsid w:val="003F225C"/>
    <w:rsid w:val="004030E2"/>
    <w:rsid w:val="004121DC"/>
    <w:rsid w:val="0041311D"/>
    <w:rsid w:val="0041397B"/>
    <w:rsid w:val="00416A40"/>
    <w:rsid w:val="004229B3"/>
    <w:rsid w:val="0043784A"/>
    <w:rsid w:val="00446FD3"/>
    <w:rsid w:val="004936C7"/>
    <w:rsid w:val="00496047"/>
    <w:rsid w:val="00496209"/>
    <w:rsid w:val="004A17A0"/>
    <w:rsid w:val="004B6767"/>
    <w:rsid w:val="004C4D04"/>
    <w:rsid w:val="004D18D3"/>
    <w:rsid w:val="004D4B93"/>
    <w:rsid w:val="004E022E"/>
    <w:rsid w:val="004E0241"/>
    <w:rsid w:val="004E0440"/>
    <w:rsid w:val="004F1F59"/>
    <w:rsid w:val="004F34A8"/>
    <w:rsid w:val="004F4485"/>
    <w:rsid w:val="00504C36"/>
    <w:rsid w:val="0051308B"/>
    <w:rsid w:val="005136A8"/>
    <w:rsid w:val="00514237"/>
    <w:rsid w:val="005151DE"/>
    <w:rsid w:val="00515B5E"/>
    <w:rsid w:val="00527380"/>
    <w:rsid w:val="00534307"/>
    <w:rsid w:val="005441E3"/>
    <w:rsid w:val="00545C39"/>
    <w:rsid w:val="00553C65"/>
    <w:rsid w:val="00557D83"/>
    <w:rsid w:val="005605AB"/>
    <w:rsid w:val="00571D17"/>
    <w:rsid w:val="00584E1E"/>
    <w:rsid w:val="00596388"/>
    <w:rsid w:val="005A54B1"/>
    <w:rsid w:val="005C25BF"/>
    <w:rsid w:val="005C7CB7"/>
    <w:rsid w:val="005D46F8"/>
    <w:rsid w:val="005D570E"/>
    <w:rsid w:val="005E12F9"/>
    <w:rsid w:val="00603524"/>
    <w:rsid w:val="00604BE6"/>
    <w:rsid w:val="0060660F"/>
    <w:rsid w:val="00622E84"/>
    <w:rsid w:val="00632F4F"/>
    <w:rsid w:val="00634804"/>
    <w:rsid w:val="00635DE6"/>
    <w:rsid w:val="0065539E"/>
    <w:rsid w:val="006655FF"/>
    <w:rsid w:val="00667254"/>
    <w:rsid w:val="006707C0"/>
    <w:rsid w:val="0067325E"/>
    <w:rsid w:val="0067539F"/>
    <w:rsid w:val="0068712F"/>
    <w:rsid w:val="00691DB9"/>
    <w:rsid w:val="00691E81"/>
    <w:rsid w:val="00692372"/>
    <w:rsid w:val="006928D7"/>
    <w:rsid w:val="00695F52"/>
    <w:rsid w:val="006963BA"/>
    <w:rsid w:val="006B0A02"/>
    <w:rsid w:val="006B5545"/>
    <w:rsid w:val="006C306B"/>
    <w:rsid w:val="006C3F1A"/>
    <w:rsid w:val="006C65DF"/>
    <w:rsid w:val="006F665B"/>
    <w:rsid w:val="00705C54"/>
    <w:rsid w:val="00705EE3"/>
    <w:rsid w:val="007102E4"/>
    <w:rsid w:val="00713049"/>
    <w:rsid w:val="00721756"/>
    <w:rsid w:val="00722971"/>
    <w:rsid w:val="00722C57"/>
    <w:rsid w:val="007339D5"/>
    <w:rsid w:val="00734048"/>
    <w:rsid w:val="007451B2"/>
    <w:rsid w:val="0077358C"/>
    <w:rsid w:val="0079514C"/>
    <w:rsid w:val="007A1CBF"/>
    <w:rsid w:val="007A1F6D"/>
    <w:rsid w:val="007A609A"/>
    <w:rsid w:val="007B0C34"/>
    <w:rsid w:val="007B7DAE"/>
    <w:rsid w:val="007C151D"/>
    <w:rsid w:val="007C2556"/>
    <w:rsid w:val="007C2F4A"/>
    <w:rsid w:val="007C354B"/>
    <w:rsid w:val="007D0D41"/>
    <w:rsid w:val="007D7E38"/>
    <w:rsid w:val="007E0964"/>
    <w:rsid w:val="007F253A"/>
    <w:rsid w:val="00806528"/>
    <w:rsid w:val="00831FC1"/>
    <w:rsid w:val="00863BAF"/>
    <w:rsid w:val="00867B32"/>
    <w:rsid w:val="00871D40"/>
    <w:rsid w:val="00873195"/>
    <w:rsid w:val="00877B62"/>
    <w:rsid w:val="0088520E"/>
    <w:rsid w:val="00885BDA"/>
    <w:rsid w:val="008905B0"/>
    <w:rsid w:val="00896728"/>
    <w:rsid w:val="008A422D"/>
    <w:rsid w:val="008A7599"/>
    <w:rsid w:val="008B034D"/>
    <w:rsid w:val="008C22C1"/>
    <w:rsid w:val="008D75BE"/>
    <w:rsid w:val="008E04FF"/>
    <w:rsid w:val="008F1038"/>
    <w:rsid w:val="00900FCE"/>
    <w:rsid w:val="00905D09"/>
    <w:rsid w:val="009179E1"/>
    <w:rsid w:val="0092384C"/>
    <w:rsid w:val="00925E86"/>
    <w:rsid w:val="00960046"/>
    <w:rsid w:val="0096569D"/>
    <w:rsid w:val="00973861"/>
    <w:rsid w:val="00977B24"/>
    <w:rsid w:val="009847E7"/>
    <w:rsid w:val="009852A3"/>
    <w:rsid w:val="009934DA"/>
    <w:rsid w:val="009A300E"/>
    <w:rsid w:val="009A4229"/>
    <w:rsid w:val="009A53AD"/>
    <w:rsid w:val="009B1431"/>
    <w:rsid w:val="009D2137"/>
    <w:rsid w:val="009D3838"/>
    <w:rsid w:val="009D53A1"/>
    <w:rsid w:val="009D7F65"/>
    <w:rsid w:val="009E0231"/>
    <w:rsid w:val="009F248D"/>
    <w:rsid w:val="009F5BF9"/>
    <w:rsid w:val="009F6278"/>
    <w:rsid w:val="009F7F2D"/>
    <w:rsid w:val="00A06CA8"/>
    <w:rsid w:val="00A10CBB"/>
    <w:rsid w:val="00A24014"/>
    <w:rsid w:val="00A33598"/>
    <w:rsid w:val="00A36042"/>
    <w:rsid w:val="00A54BB1"/>
    <w:rsid w:val="00A54F9E"/>
    <w:rsid w:val="00A61E09"/>
    <w:rsid w:val="00A677C0"/>
    <w:rsid w:val="00A706C0"/>
    <w:rsid w:val="00A757BE"/>
    <w:rsid w:val="00A7673B"/>
    <w:rsid w:val="00A832F4"/>
    <w:rsid w:val="00A901E0"/>
    <w:rsid w:val="00A90763"/>
    <w:rsid w:val="00A92A48"/>
    <w:rsid w:val="00A96124"/>
    <w:rsid w:val="00AA074D"/>
    <w:rsid w:val="00AA3150"/>
    <w:rsid w:val="00AB0004"/>
    <w:rsid w:val="00AB5B1B"/>
    <w:rsid w:val="00AD277D"/>
    <w:rsid w:val="00AD71DF"/>
    <w:rsid w:val="00AE29F2"/>
    <w:rsid w:val="00AE3C84"/>
    <w:rsid w:val="00AF34E5"/>
    <w:rsid w:val="00B11E18"/>
    <w:rsid w:val="00B25AAE"/>
    <w:rsid w:val="00B40341"/>
    <w:rsid w:val="00B41777"/>
    <w:rsid w:val="00B5189C"/>
    <w:rsid w:val="00B7390F"/>
    <w:rsid w:val="00B817E7"/>
    <w:rsid w:val="00B826CA"/>
    <w:rsid w:val="00B85D08"/>
    <w:rsid w:val="00BA726D"/>
    <w:rsid w:val="00BB3A95"/>
    <w:rsid w:val="00BB4D4F"/>
    <w:rsid w:val="00BC111D"/>
    <w:rsid w:val="00BD2133"/>
    <w:rsid w:val="00BD3372"/>
    <w:rsid w:val="00BE03C6"/>
    <w:rsid w:val="00C0305A"/>
    <w:rsid w:val="00C06062"/>
    <w:rsid w:val="00C0692C"/>
    <w:rsid w:val="00C2442F"/>
    <w:rsid w:val="00C25BAB"/>
    <w:rsid w:val="00C274CC"/>
    <w:rsid w:val="00C36919"/>
    <w:rsid w:val="00C36DDB"/>
    <w:rsid w:val="00C4100E"/>
    <w:rsid w:val="00C6245B"/>
    <w:rsid w:val="00C64325"/>
    <w:rsid w:val="00C64AE3"/>
    <w:rsid w:val="00C718EA"/>
    <w:rsid w:val="00C829F8"/>
    <w:rsid w:val="00C87444"/>
    <w:rsid w:val="00C96012"/>
    <w:rsid w:val="00CA420B"/>
    <w:rsid w:val="00CC49EB"/>
    <w:rsid w:val="00CC7A4A"/>
    <w:rsid w:val="00CD1E8A"/>
    <w:rsid w:val="00CE7C74"/>
    <w:rsid w:val="00CF41AF"/>
    <w:rsid w:val="00CF4FF7"/>
    <w:rsid w:val="00D13561"/>
    <w:rsid w:val="00D25D34"/>
    <w:rsid w:val="00D46097"/>
    <w:rsid w:val="00D60837"/>
    <w:rsid w:val="00D62B8B"/>
    <w:rsid w:val="00D645B9"/>
    <w:rsid w:val="00D76279"/>
    <w:rsid w:val="00D82378"/>
    <w:rsid w:val="00D847A7"/>
    <w:rsid w:val="00D870CA"/>
    <w:rsid w:val="00D91D00"/>
    <w:rsid w:val="00DA1B57"/>
    <w:rsid w:val="00DA647A"/>
    <w:rsid w:val="00DB3018"/>
    <w:rsid w:val="00DB4AB0"/>
    <w:rsid w:val="00DB54DA"/>
    <w:rsid w:val="00DC3616"/>
    <w:rsid w:val="00DE06E3"/>
    <w:rsid w:val="00DE32A8"/>
    <w:rsid w:val="00E11D13"/>
    <w:rsid w:val="00E34926"/>
    <w:rsid w:val="00E3635B"/>
    <w:rsid w:val="00E36448"/>
    <w:rsid w:val="00E6296A"/>
    <w:rsid w:val="00E642A1"/>
    <w:rsid w:val="00E753FD"/>
    <w:rsid w:val="00E83C7A"/>
    <w:rsid w:val="00E87E73"/>
    <w:rsid w:val="00E92B5F"/>
    <w:rsid w:val="00EA0F03"/>
    <w:rsid w:val="00EA30DD"/>
    <w:rsid w:val="00EB2EF5"/>
    <w:rsid w:val="00EC2D10"/>
    <w:rsid w:val="00EC2E02"/>
    <w:rsid w:val="00EC6C7A"/>
    <w:rsid w:val="00EC790F"/>
    <w:rsid w:val="00ED2CD9"/>
    <w:rsid w:val="00EE15C9"/>
    <w:rsid w:val="00EE2D92"/>
    <w:rsid w:val="00EE48F2"/>
    <w:rsid w:val="00EE5D08"/>
    <w:rsid w:val="00EF3E9D"/>
    <w:rsid w:val="00F14D88"/>
    <w:rsid w:val="00F14FE6"/>
    <w:rsid w:val="00F20AEE"/>
    <w:rsid w:val="00F231CA"/>
    <w:rsid w:val="00F25D9F"/>
    <w:rsid w:val="00F30611"/>
    <w:rsid w:val="00F37BFB"/>
    <w:rsid w:val="00F44053"/>
    <w:rsid w:val="00F5256B"/>
    <w:rsid w:val="00F55D2C"/>
    <w:rsid w:val="00F65532"/>
    <w:rsid w:val="00F8047D"/>
    <w:rsid w:val="00F8573B"/>
    <w:rsid w:val="00F878D1"/>
    <w:rsid w:val="00F90781"/>
    <w:rsid w:val="00F92D9B"/>
    <w:rsid w:val="00FA6D01"/>
    <w:rsid w:val="00FB6957"/>
    <w:rsid w:val="00FC41EA"/>
    <w:rsid w:val="00FC7790"/>
    <w:rsid w:val="00FC7AAF"/>
    <w:rsid w:val="00FE0F12"/>
    <w:rsid w:val="00FE5B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C1F5BB-1D4D-4FD5-9DD8-E2E497D74C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91DB9"/>
    <w:rPr>
      <w:rFonts w:ascii="Cambria" w:eastAsia="Times New Roman" w:hAnsi="Cambria" w:cs="Cambria"/>
      <w:lang w:val="en-US"/>
    </w:rPr>
  </w:style>
  <w:style w:type="paragraph" w:styleId="1">
    <w:name w:val="heading 1"/>
    <w:basedOn w:val="a"/>
    <w:link w:val="10"/>
    <w:uiPriority w:val="9"/>
    <w:qFormat/>
    <w:rsid w:val="00D76279"/>
    <w:pPr>
      <w:spacing w:before="100" w:beforeAutospacing="1" w:after="100" w:afterAutospacing="1" w:line="240" w:lineRule="auto"/>
      <w:outlineLvl w:val="0"/>
    </w:pPr>
    <w:rPr>
      <w:rFonts w:ascii="Times New Roman" w:hAnsi="Times New Roman" w:cs="Times New Roman"/>
      <w:b/>
      <w:bCs/>
      <w:kern w:val="36"/>
      <w:sz w:val="48"/>
      <w:szCs w:val="48"/>
      <w:lang w:val="ru-RU"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A17A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691DB9"/>
    <w:pPr>
      <w:spacing w:after="160" w:line="240" w:lineRule="exact"/>
    </w:pPr>
    <w:rPr>
      <w:rFonts w:ascii="Verdana" w:hAnsi="Verdana" w:cs="Times New Roman"/>
      <w:sz w:val="20"/>
      <w:szCs w:val="20"/>
    </w:rPr>
  </w:style>
  <w:style w:type="character" w:styleId="a4">
    <w:name w:val="Hyperlink"/>
    <w:rsid w:val="00691DB9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F878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878D1"/>
    <w:rPr>
      <w:rFonts w:ascii="Tahoma" w:eastAsia="Times New Roman" w:hAnsi="Tahoma" w:cs="Tahoma"/>
      <w:sz w:val="16"/>
      <w:szCs w:val="16"/>
      <w:lang w:val="en-US"/>
    </w:rPr>
  </w:style>
  <w:style w:type="paragraph" w:styleId="a7">
    <w:name w:val="Body Text Indent"/>
    <w:basedOn w:val="a"/>
    <w:link w:val="a8"/>
    <w:rsid w:val="00CD1E8A"/>
    <w:pPr>
      <w:spacing w:after="120" w:line="240" w:lineRule="auto"/>
      <w:ind w:left="283"/>
    </w:pPr>
    <w:rPr>
      <w:rFonts w:ascii="Times New Roman" w:hAnsi="Times New Roman" w:cs="Times New Roman"/>
      <w:sz w:val="20"/>
      <w:szCs w:val="20"/>
      <w:lang w:val="ru-RU" w:eastAsia="ru-RU"/>
    </w:rPr>
  </w:style>
  <w:style w:type="character" w:customStyle="1" w:styleId="a8">
    <w:name w:val="Основной текст с отступом Знак"/>
    <w:basedOn w:val="a0"/>
    <w:link w:val="a7"/>
    <w:rsid w:val="00CD1E8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11">
    <w:name w:val="Абзац списка1"/>
    <w:aliases w:val="ПАРАГРАФ"/>
    <w:basedOn w:val="a"/>
    <w:qFormat/>
    <w:rsid w:val="00CD1E8A"/>
    <w:pPr>
      <w:ind w:left="720"/>
      <w:contextualSpacing/>
    </w:pPr>
    <w:rPr>
      <w:rFonts w:ascii="Calibri" w:eastAsia="Calibri" w:hAnsi="Calibri" w:cs="Calibri"/>
      <w:lang w:val="ru-RU"/>
    </w:rPr>
  </w:style>
  <w:style w:type="table" w:styleId="a9">
    <w:name w:val="Table Grid"/>
    <w:basedOn w:val="a1"/>
    <w:uiPriority w:val="59"/>
    <w:rsid w:val="00FC7A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rmal (Web)"/>
    <w:basedOn w:val="a"/>
    <w:uiPriority w:val="99"/>
    <w:unhideWhenUsed/>
    <w:rsid w:val="0069237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character" w:customStyle="1" w:styleId="10">
    <w:name w:val="Заголовок 1 Знак"/>
    <w:basedOn w:val="a0"/>
    <w:link w:val="1"/>
    <w:uiPriority w:val="9"/>
    <w:rsid w:val="00D76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b">
    <w:name w:val="List Paragraph"/>
    <w:basedOn w:val="a"/>
    <w:uiPriority w:val="34"/>
    <w:qFormat/>
    <w:rsid w:val="00A90763"/>
    <w:pPr>
      <w:ind w:left="720"/>
      <w:contextualSpacing/>
    </w:pPr>
  </w:style>
  <w:style w:type="character" w:customStyle="1" w:styleId="12">
    <w:name w:val="Заголовок №1_"/>
    <w:link w:val="13"/>
    <w:rsid w:val="00F5256B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13">
    <w:name w:val="Заголовок №1"/>
    <w:basedOn w:val="a"/>
    <w:link w:val="12"/>
    <w:rsid w:val="00F5256B"/>
    <w:pPr>
      <w:shd w:val="clear" w:color="auto" w:fill="FFFFFF"/>
      <w:spacing w:after="0" w:line="322" w:lineRule="exact"/>
      <w:jc w:val="center"/>
      <w:outlineLvl w:val="0"/>
    </w:pPr>
    <w:rPr>
      <w:rFonts w:ascii="Times New Roman" w:hAnsi="Times New Roman" w:cs="Times New Roman"/>
      <w:sz w:val="26"/>
      <w:szCs w:val="26"/>
      <w:lang w:val="ru-RU"/>
    </w:rPr>
  </w:style>
  <w:style w:type="character" w:customStyle="1" w:styleId="20">
    <w:name w:val="Заголовок 2 Знак"/>
    <w:basedOn w:val="a0"/>
    <w:link w:val="2"/>
    <w:uiPriority w:val="9"/>
    <w:semiHidden/>
    <w:rsid w:val="004A17A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ac">
    <w:name w:val="endnote text"/>
    <w:basedOn w:val="a"/>
    <w:link w:val="ad"/>
    <w:uiPriority w:val="99"/>
    <w:semiHidden/>
    <w:unhideWhenUsed/>
    <w:rsid w:val="00264940"/>
    <w:pPr>
      <w:spacing w:after="0" w:line="240" w:lineRule="auto"/>
    </w:pPr>
    <w:rPr>
      <w:sz w:val="20"/>
      <w:szCs w:val="20"/>
    </w:rPr>
  </w:style>
  <w:style w:type="character" w:customStyle="1" w:styleId="ad">
    <w:name w:val="Текст концевой сноски Знак"/>
    <w:basedOn w:val="a0"/>
    <w:link w:val="ac"/>
    <w:uiPriority w:val="99"/>
    <w:semiHidden/>
    <w:rsid w:val="00264940"/>
    <w:rPr>
      <w:rFonts w:ascii="Cambria" w:eastAsia="Times New Roman" w:hAnsi="Cambria" w:cs="Cambria"/>
      <w:sz w:val="20"/>
      <w:szCs w:val="20"/>
      <w:lang w:val="en-US"/>
    </w:rPr>
  </w:style>
  <w:style w:type="character" w:styleId="ae">
    <w:name w:val="endnote reference"/>
    <w:basedOn w:val="a0"/>
    <w:uiPriority w:val="99"/>
    <w:semiHidden/>
    <w:unhideWhenUsed/>
    <w:rsid w:val="00264940"/>
    <w:rPr>
      <w:vertAlign w:val="superscript"/>
    </w:rPr>
  </w:style>
  <w:style w:type="paragraph" w:customStyle="1" w:styleId="af">
    <w:name w:val="загол"/>
    <w:basedOn w:val="a"/>
    <w:rsid w:val="00AA074D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ru-RU" w:eastAsia="ru-RU"/>
    </w:rPr>
  </w:style>
  <w:style w:type="paragraph" w:customStyle="1" w:styleId="ConsPlusNormal">
    <w:name w:val="ConsPlusNormal"/>
    <w:rsid w:val="00F55D2C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9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6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145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0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9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7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3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60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708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79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1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10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8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A648B9-7ED4-46E9-B1D5-9F1610933D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5</Pages>
  <Words>1410</Words>
  <Characters>8038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org</Company>
  <LinksUpToDate>false</LinksUpToDate>
  <CharactersWithSpaces>9430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Шмидт Ольга</dc:creator>
  <cp:lastModifiedBy>Бытдаева Наталья</cp:lastModifiedBy>
  <cp:revision>5</cp:revision>
  <cp:lastPrinted>2021-02-12T12:21:00Z</cp:lastPrinted>
  <dcterms:created xsi:type="dcterms:W3CDTF">2021-02-12T12:17:00Z</dcterms:created>
  <dcterms:modified xsi:type="dcterms:W3CDTF">2021-02-12T12:32:00Z</dcterms:modified>
</cp:coreProperties>
</file>